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C418921" w:rsidR="00D6147A" w:rsidRDefault="00AA26C7" w:rsidP="00AA26C7">
      <w:hyperlink r:id="rId6" w:history="1">
        <w:r w:rsidRPr="000930B3">
          <w:rPr>
            <w:rStyle w:val="Collegamentoipertestuale"/>
          </w:rPr>
          <w:t>https://finanza.lastampa.it/News/2025/02/14/prampolini-assiom-forex-in-europa-servono-cambio-di-passo-su-ai-e-investimenti/MTU1XzIwMjUtMDItMTRfVExC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prampolini-assiom-forex-in-europa-servono-cambio-di-passo-su-ai-e-investimenti/MTU1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2025-02-18T15:21:00Z</dcterms:created>
  <dcterms:modified xsi:type="dcterms:W3CDTF">2025-02-18T15:21:00Z</dcterms:modified>
</cp:coreProperties>
</file>